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5A4" w:rsidRPr="00FB65A4" w:rsidRDefault="00FB65A4" w:rsidP="00FB65A4">
      <w:pPr>
        <w:spacing w:after="375" w:line="240" w:lineRule="auto"/>
        <w:jc w:val="center"/>
        <w:rPr>
          <w:rFonts w:ascii="Arial" w:eastAsia="Times New Roman" w:hAnsi="Arial" w:cs="Arial"/>
          <w:color w:val="191919"/>
          <w:sz w:val="24"/>
          <w:szCs w:val="24"/>
          <w:lang w:eastAsia="nl-NL"/>
        </w:rPr>
      </w:pPr>
      <w:r w:rsidRPr="00FB65A4">
        <w:rPr>
          <w:rFonts w:ascii="Arial" w:eastAsia="Times New Roman" w:hAnsi="Arial" w:cs="Arial"/>
          <w:noProof/>
          <w:color w:val="191919"/>
          <w:sz w:val="24"/>
          <w:szCs w:val="24"/>
          <w:lang w:eastAsia="nl-NL"/>
        </w:rPr>
        <w:drawing>
          <wp:inline distT="0" distB="0" distL="0" distR="0">
            <wp:extent cx="3670935" cy="2374900"/>
            <wp:effectExtent l="0" t="0" r="5715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5A4" w:rsidRPr="00FB65A4" w:rsidRDefault="00FB65A4" w:rsidP="00FB65A4">
      <w:pPr>
        <w:spacing w:before="750" w:after="450" w:line="240" w:lineRule="auto"/>
        <w:outlineLvl w:val="1"/>
        <w:rPr>
          <w:rFonts w:ascii="&amp;quot" w:eastAsia="Times New Roman" w:hAnsi="&amp;quot" w:cs="Times New Roman"/>
          <w:b/>
          <w:bCs/>
          <w:color w:val="000000"/>
          <w:spacing w:val="-5"/>
          <w:sz w:val="48"/>
          <w:szCs w:val="48"/>
          <w:lang w:eastAsia="nl-NL"/>
        </w:rPr>
      </w:pPr>
      <w:r w:rsidRPr="00FB65A4">
        <w:rPr>
          <w:rFonts w:ascii="&amp;quot" w:eastAsia="Times New Roman" w:hAnsi="&amp;quot" w:cs="Times New Roman"/>
          <w:b/>
          <w:bCs/>
          <w:color w:val="000000"/>
          <w:spacing w:val="-5"/>
          <w:sz w:val="48"/>
          <w:szCs w:val="48"/>
          <w:lang w:eastAsia="nl-NL"/>
        </w:rPr>
        <w:t>Handen</w:t>
      </w:r>
    </w:p>
    <w:p w:rsidR="00FB65A4" w:rsidRPr="00FB65A4" w:rsidRDefault="00FB65A4" w:rsidP="00FB65A4">
      <w:pPr>
        <w:spacing w:after="375" w:line="240" w:lineRule="auto"/>
        <w:rPr>
          <w:rFonts w:ascii="Arial" w:eastAsia="Times New Roman" w:hAnsi="Arial" w:cs="Arial"/>
          <w:color w:val="191919"/>
          <w:sz w:val="24"/>
          <w:szCs w:val="24"/>
          <w:lang w:eastAsia="nl-NL"/>
        </w:rPr>
      </w:pPr>
      <w:r w:rsidRPr="00FB65A4">
        <w:rPr>
          <w:rFonts w:ascii="Arial" w:eastAsia="Times New Roman" w:hAnsi="Arial" w:cs="Arial"/>
          <w:color w:val="191919"/>
          <w:sz w:val="24"/>
          <w:szCs w:val="24"/>
          <w:lang w:eastAsia="nl-NL"/>
        </w:rPr>
        <w:t xml:space="preserve">Laat de kinderen hun eigen handen omtrekken op papier dat overeenkomt met hun huidskleur. Laat ze vervolgens hun handen uitprikken. De handjes die </w:t>
      </w:r>
      <w:proofErr w:type="spellStart"/>
      <w:r w:rsidRPr="00FB65A4">
        <w:rPr>
          <w:rFonts w:ascii="Arial" w:eastAsia="Times New Roman" w:hAnsi="Arial" w:cs="Arial"/>
          <w:color w:val="191919"/>
          <w:sz w:val="24"/>
          <w:szCs w:val="24"/>
          <w:lang w:eastAsia="nl-NL"/>
        </w:rPr>
        <w:t>uitprikt</w:t>
      </w:r>
      <w:proofErr w:type="spellEnd"/>
      <w:r w:rsidRPr="00FB65A4">
        <w:rPr>
          <w:rFonts w:ascii="Arial" w:eastAsia="Times New Roman" w:hAnsi="Arial" w:cs="Arial"/>
          <w:color w:val="191919"/>
          <w:sz w:val="24"/>
          <w:szCs w:val="24"/>
          <w:lang w:eastAsia="nl-NL"/>
        </w:rPr>
        <w:t xml:space="preserve"> zijn laten opplakken, en het “afval” kan je op een nieuw papiertje laten opplakken.</w:t>
      </w:r>
      <w:r w:rsidRPr="00FB65A4">
        <w:rPr>
          <w:rFonts w:ascii="Arial" w:eastAsia="Times New Roman" w:hAnsi="Arial" w:cs="Arial"/>
          <w:color w:val="191919"/>
          <w:sz w:val="24"/>
          <w:szCs w:val="24"/>
          <w:lang w:eastAsia="nl-NL"/>
        </w:rPr>
        <w:br/>
        <w:t>De nagels zijn van glinsterpapier.</w:t>
      </w:r>
    </w:p>
    <w:p w:rsidR="001F09EF" w:rsidRPr="00FB65A4" w:rsidRDefault="001F09EF" w:rsidP="00FB65A4">
      <w:bookmarkStart w:id="0" w:name="_GoBack"/>
      <w:bookmarkEnd w:id="0"/>
    </w:p>
    <w:sectPr w:rsidR="001F09EF" w:rsidRPr="00FB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A4"/>
    <w:rsid w:val="001F09EF"/>
    <w:rsid w:val="00F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163EB-1E2C-492B-9E8A-A23818F0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FB6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B65A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B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cp:lastPrinted>2020-04-04T06:52:00Z</cp:lastPrinted>
  <dcterms:created xsi:type="dcterms:W3CDTF">2020-04-04T06:44:00Z</dcterms:created>
  <dcterms:modified xsi:type="dcterms:W3CDTF">2020-04-04T06:52:00Z</dcterms:modified>
</cp:coreProperties>
</file>